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Backward Design Teacher Guide</w:t>
      </w:r>
    </w:p>
    <w:p>
      <w:pPr>
        <w:spacing w:after="200"/>
      </w:pPr>
      <w:r>
        <w:t xml:space="preserve">Answer guidance and an analytic check for the Civil Rights unit on the companion article. Review primary sources, reading level, local standards and classroom suitability before use.</w:t>
      </w:r>
    </w:p>
    <w:p>
      <w:pPr>
        <w:pStyle w:val="Heading2"/>
        <w:spacing w:after="100" w:before="180"/>
      </w:pPr>
      <w:r>
        <w:t xml:space="preserve">Purpose and evidence</w:t>
      </w:r>
    </w:p>
    <w:p>
      <w:pPr>
        <w:spacing w:after="120"/>
      </w:pPr>
      <w:r>
        <w:t xml:space="preserve">Unit question: How did legal decisions, organized action and federal legislation interact in the Civil Rights Movement? The student sheet prepares the existing four-day unit’s final strategy memo. Collect the comparison grid, evidence paragraph and final memo as different kinds of evidence.</w:t>
      </w:r>
    </w:p>
    <w:p>
      <w:pPr>
        <w:pStyle w:val="Heading2"/>
        <w:spacing w:after="100" w:before="180"/>
      </w:pPr>
      <w:r>
        <w:t xml:space="preserve">Expected distinctions</w:t>
      </w:r>
    </w:p>
    <w:p>
      <w:pPr>
        <w:spacing w:after="120"/>
      </w:pPr>
      <w:r>
        <w:t xml:space="preserve">Card A establishes a constitutional ruling about public schools. Card B shows sustained collective action alongside litigation about buses. Card C concerns federal legislation in specified areas. Do not suggest that the boycott itself enacted federal law or that the Civil Rights Act caused Brown.</w:t>
      </w:r>
    </w:p>
    <w:p>
      <w:pPr>
        <w:pStyle w:val="Heading2"/>
        <w:spacing w:after="100" w:before="180"/>
      </w:pPr>
      <w:r>
        <w:t xml:space="preserve">Annotated model paragraph</w:t>
      </w:r>
    </w:p>
    <w:p>
      <w:pPr>
        <w:spacing w:after="120"/>
      </w:pPr>
      <w:r>
        <w:t xml:space="preserve">The Brown ruling changed the law on segregated public schools, but communities and authorities still had to implement it [Card A detail and limit]. In Montgomery, residents sustained a boycott while a separate court challenge proceeded [Card B shows action and law together]. These examples suggest that a legal decision can establish a right while organized people and institutions determine how it is put into practice [reasoned inference, not a fact stated by one card].</w:t>
      </w:r>
    </w:p>
    <w:p>
      <w:pPr>
        <w:pStyle w:val="Heading2"/>
        <w:spacing w:after="100" w:before="180"/>
      </w:pPr>
      <w:r>
        <w:t xml:space="preserve">Feedback by evidence</w:t>
      </w:r>
    </w:p>
    <w:p>
      <w:pPr>
        <w:spacing w:after="120"/>
      </w:pPr>
      <w:r>
        <w:t xml:space="preserve">If a learner lists dates, ask for the mechanism connecting an event to an outcome. If they claim a tactic guaranteed success, ask for a limiting condition. If they rely only on the summary cards, assign one selected primary source and ask what it adds or complicates.</w:t>
      </w:r>
    </w:p>
    <w:p>
      <w:pPr>
        <w:pStyle w:val="Heading2"/>
        <w:spacing w:after="100" w:before="180"/>
      </w:pPr>
      <w:r>
        <w:t xml:space="preserve">Four-level analytic check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pPr>
              <w:spacing w:after="50"/>
            </w:pPr>
            <w:r>
              <w:t xml:space="preserve">Criterion</w:t>
            </w:r>
          </w:p>
        </w:tc>
        <w:tc>
          <w:p>
            <w:pPr>
              <w:spacing w:after="50"/>
            </w:pPr>
            <w:r>
              <w:t xml:space="preserve">1 Starting</w:t>
            </w:r>
          </w:p>
        </w:tc>
        <w:tc>
          <w:p>
            <w:pPr>
              <w:spacing w:after="50"/>
            </w:pPr>
            <w:r>
              <w:t xml:space="preserve">2 Developing</w:t>
            </w:r>
          </w:p>
        </w:tc>
        <w:tc>
          <w:p>
            <w:pPr>
              <w:spacing w:after="50"/>
            </w:pPr>
            <w:r>
              <w:t xml:space="preserve">3 Secure</w:t>
            </w:r>
          </w:p>
        </w:tc>
        <w:tc>
          <w:p>
            <w:pPr>
              <w:spacing w:after="50"/>
            </w:pPr>
            <w:r>
              <w:t xml:space="preserve">4 Extending</w:t>
            </w:r>
          </w:p>
        </w:tc>
      </w:tr>
      <w:tr>
        <w:tc>
          <w:p>
            <w:pPr>
              <w:spacing w:after="50"/>
            </w:pPr>
            <w:r>
              <w:t xml:space="preserve">Historical accuracy</w:t>
            </w:r>
          </w:p>
        </w:tc>
        <w:tc>
          <w:p>
            <w:pPr>
              <w:spacing w:after="50"/>
            </w:pPr>
            <w:r>
              <w:t xml:space="preserve">Confuses cases or outcomes</w:t>
            </w:r>
          </w:p>
        </w:tc>
        <w:tc>
          <w:p>
            <w:pPr>
              <w:spacing w:after="50"/>
            </w:pPr>
            <w:r>
              <w:t xml:space="preserve">Names events but blurs mechanisms</w:t>
            </w:r>
          </w:p>
        </w:tc>
        <w:tc>
          <w:p>
            <w:pPr>
              <w:spacing w:after="50"/>
            </w:pPr>
            <w:r>
              <w:t xml:space="preserve">Distinguishes ruling, action and legislation</w:t>
            </w:r>
          </w:p>
        </w:tc>
        <w:tc>
          <w:p>
            <w:pPr>
              <w:spacing w:after="50"/>
            </w:pPr>
            <w:r>
              <w:t xml:space="preserve">Adds a justified limit or interaction</w:t>
            </w:r>
          </w:p>
        </w:tc>
      </w:tr>
      <w:tr>
        <w:tc>
          <w:p>
            <w:pPr>
              <w:spacing w:after="50"/>
            </w:pPr>
            <w:r>
              <w:t xml:space="preserve">Evidence</w:t>
            </w:r>
          </w:p>
        </w:tc>
        <w:tc>
          <w:p>
            <w:pPr>
              <w:spacing w:after="50"/>
            </w:pPr>
            <w:r>
              <w:t xml:space="preserve">No relevant detail</w:t>
            </w:r>
          </w:p>
        </w:tc>
        <w:tc>
          <w:p>
            <w:pPr>
              <w:spacing w:after="50"/>
            </w:pPr>
            <w:r>
              <w:t xml:space="preserve">One unexplained detail</w:t>
            </w:r>
          </w:p>
        </w:tc>
        <w:tc>
          <w:p>
            <w:pPr>
              <w:spacing w:after="50"/>
            </w:pPr>
            <w:r>
              <w:t xml:space="preserve">Two accurate details from different cases, explained</w:t>
            </w:r>
          </w:p>
        </w:tc>
        <w:tc>
          <w:p>
            <w:pPr>
              <w:spacing w:after="50"/>
            </w:pPr>
            <w:r>
              <w:t xml:space="preserve">Compares source strengths or limits</w:t>
            </w:r>
          </w:p>
        </w:tc>
      </w:tr>
      <w:tr>
        <w:tc>
          <w:p>
            <w:pPr>
              <w:spacing w:after="50"/>
            </w:pPr>
            <w:r>
              <w:t xml:space="preserve">Reasoning and transfer</w:t>
            </w:r>
          </w:p>
        </w:tc>
        <w:tc>
          <w:p>
            <w:pPr>
              <w:spacing w:after="50"/>
            </w:pPr>
            <w:r>
              <w:t xml:space="preserve">Assertion or modern analogy only</w:t>
            </w:r>
          </w:p>
        </w:tc>
        <w:tc>
          <w:p>
            <w:pPr>
              <w:spacing w:after="50"/>
            </w:pPr>
            <w:r>
              <w:t xml:space="preserve">Describes sequence</w:t>
            </w:r>
          </w:p>
        </w:tc>
        <w:tc>
          <w:p>
            <w:pPr>
              <w:spacing w:after="50"/>
            </w:pPr>
            <w:r>
              <w:t xml:space="preserve">Explains how a tactic affected an institution or decision</w:t>
            </w:r>
          </w:p>
        </w:tc>
        <w:tc>
          <w:p>
            <w:pPr>
              <w:spacing w:after="50"/>
            </w:pPr>
            <w:r>
              <w:t xml:space="preserve">Qualifies what differs in another context</w:t>
            </w:r>
          </w:p>
        </w:tc>
      </w:tr>
    </w:tbl>
    <w:p/>
    <w:p>
      <w:pPr>
        <w:pStyle w:val="Heading2"/>
        <w:spacing w:after="100" w:before="180"/>
      </w:pPr>
      <w:r>
        <w:t xml:space="preserve">Primary-source preparation</w:t>
      </w:r>
    </w:p>
    <w:p>
      <w:pPr>
        <w:spacing w:after="120"/>
      </w:pPr>
      <w:r>
        <w:t xml:space="preserve">Select age-appropriate items from the Library of Congress Civil Rights Movement classroom set and verify each source’s date, provenance and classroom permissions: loc.gov/classroom-materials/civil-rights-movement/. The summary cards do not replace primary-source analysis.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238"/>
        <w:sz w:val="20"/>
        <w:szCs w:val="20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Draft My Lesson Team</dc:creator>
  <cp:lastModifiedBy>Un-named</cp:lastModifiedBy>
  <cp:revision>1</cp:revision>
  <dcterms:created xsi:type="dcterms:W3CDTF">2026-09-26T00:32:12.866Z</dcterms:created>
  <dcterms:modified xsi:type="dcterms:W3CDTF">2026-09-26T00:32:12.866Z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