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Madeline Hunter lesson plan template</w:t>
      </w:r>
    </w:p>
    <w:p>
      <w:r>
        <w:t>Lesson:                        Grade / subject:                Date:</w:t>
      </w:r>
    </w:p>
    <w:p>
      <w:r>
        <w:t>Standard (verify locally):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b/>
              </w:rPr>
              <w:t>Element</w:t>
            </w:r>
          </w:p>
        </w:tc>
        <w:tc>
          <w:tcPr>
            <w:tcW w:type="dxa" w:w="3504"/>
          </w:tcPr>
          <w:p>
            <w:r>
              <w:rPr>
                <w:b/>
              </w:rPr>
              <w:t>What you will do and say</w:t>
            </w:r>
          </w:p>
        </w:tc>
        <w:tc>
          <w:tcPr>
            <w:tcW w:type="dxa" w:w="3504"/>
          </w:tcPr>
          <w:p>
            <w:r>
              <w:rPr>
                <w:b/>
              </w:rPr>
              <w:t>Time</w:t>
            </w:r>
          </w:p>
        </w:tc>
      </w:tr>
      <w:tr>
        <w:trPr>
          <w:trHeight w:val="1080"/>
        </w:trPr>
        <w:tc>
          <w:tcPr>
            <w:tcW w:type="dxa" w:w="3504"/>
          </w:tcPr>
          <w:p>
            <w:r/>
            <w:r>
              <w:rPr>
                <w:b/>
              </w:rPr>
              <w:t>Objective and purpose</w:t>
            </w:r>
          </w:p>
          <w:p>
            <w:r>
              <w:rPr>
                <w:i/>
                <w:color w:val="6B7280"/>
                <w:sz w:val="17"/>
              </w:rPr>
              <w:t>What students will be able to do, and why it matters, in student-friendly words.</w:t>
            </w:r>
          </w:p>
        </w:tc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</w:tr>
      <w:tr>
        <w:trPr>
          <w:trHeight w:val="1080"/>
        </w:trPr>
        <w:tc>
          <w:tcPr>
            <w:tcW w:type="dxa" w:w="3504"/>
          </w:tcPr>
          <w:p>
            <w:r/>
            <w:r>
              <w:rPr>
                <w:b/>
              </w:rPr>
              <w:t>Anticipatory set</w:t>
            </w:r>
          </w:p>
          <w:p>
            <w:r>
              <w:rPr>
                <w:i/>
                <w:color w:val="6B7280"/>
                <w:sz w:val="17"/>
              </w:rPr>
              <w:t>A short hook that focuses attention and connects to prior learning.</w:t>
            </w:r>
          </w:p>
        </w:tc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</w:tr>
      <w:tr>
        <w:trPr>
          <w:trHeight w:val="1080"/>
        </w:trPr>
        <w:tc>
          <w:tcPr>
            <w:tcW w:type="dxa" w:w="3504"/>
          </w:tcPr>
          <w:p>
            <w:r/>
            <w:r>
              <w:rPr>
                <w:b/>
              </w:rPr>
              <w:t>Input</w:t>
            </w:r>
          </w:p>
          <w:p>
            <w:r>
              <w:rPr>
                <w:i/>
                <w:color w:val="6B7280"/>
                <w:sz w:val="17"/>
              </w:rPr>
              <w:t>The new information or skill, in small steps, with key vocabulary.</w:t>
            </w:r>
          </w:p>
        </w:tc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</w:tr>
      <w:tr>
        <w:trPr>
          <w:trHeight w:val="1080"/>
        </w:trPr>
        <w:tc>
          <w:tcPr>
            <w:tcW w:type="dxa" w:w="3504"/>
          </w:tcPr>
          <w:p>
            <w:r/>
            <w:r>
              <w:rPr>
                <w:b/>
              </w:rPr>
              <w:t>Modeling</w:t>
            </w:r>
          </w:p>
          <w:p>
            <w:r>
              <w:rPr>
                <w:i/>
                <w:color w:val="6B7280"/>
                <w:sz w:val="17"/>
              </w:rPr>
              <w:t>Show the skill or a finished example; think aloud through each step.</w:t>
            </w:r>
          </w:p>
        </w:tc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</w:tr>
      <w:tr>
        <w:trPr>
          <w:trHeight w:val="1080"/>
        </w:trPr>
        <w:tc>
          <w:tcPr>
            <w:tcW w:type="dxa" w:w="3504"/>
          </w:tcPr>
          <w:p>
            <w:r/>
            <w:r>
              <w:rPr>
                <w:b/>
              </w:rPr>
              <w:t>Check for understanding</w:t>
            </w:r>
          </w:p>
          <w:p>
            <w:r>
              <w:rPr>
                <w:i/>
                <w:color w:val="6B7280"/>
                <w:sz w:val="17"/>
              </w:rPr>
              <w:t>Quick checks during input and modeling: whiteboards, signals, targeted questions.</w:t>
            </w:r>
          </w:p>
        </w:tc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</w:tr>
      <w:tr>
        <w:trPr>
          <w:trHeight w:val="1080"/>
        </w:trPr>
        <w:tc>
          <w:tcPr>
            <w:tcW w:type="dxa" w:w="3504"/>
          </w:tcPr>
          <w:p>
            <w:r/>
            <w:r>
              <w:rPr>
                <w:b/>
              </w:rPr>
              <w:t>Guided practice</w:t>
            </w:r>
          </w:p>
          <w:p>
            <w:r>
              <w:rPr>
                <w:i/>
                <w:color w:val="6B7280"/>
                <w:sz w:val="17"/>
              </w:rPr>
              <w:t>Students try it with you nearby; give immediate feedback before moving on.</w:t>
            </w:r>
          </w:p>
        </w:tc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</w:tr>
      <w:tr>
        <w:trPr>
          <w:trHeight w:val="1080"/>
        </w:trPr>
        <w:tc>
          <w:tcPr>
            <w:tcW w:type="dxa" w:w="3504"/>
          </w:tcPr>
          <w:p>
            <w:r/>
            <w:r>
              <w:rPr>
                <w:b/>
              </w:rPr>
              <w:t>Independent practice</w:t>
            </w:r>
          </w:p>
          <w:p>
            <w:r>
              <w:rPr>
                <w:i/>
                <w:color w:val="6B7280"/>
                <w:sz w:val="17"/>
              </w:rPr>
              <w:t>Students practice alone once most can succeed with guidance.</w:t>
            </w:r>
          </w:p>
        </w:tc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</w:tr>
      <w:tr>
        <w:trPr>
          <w:trHeight w:val="1080"/>
        </w:trPr>
        <w:tc>
          <w:tcPr>
            <w:tcW w:type="dxa" w:w="3504"/>
          </w:tcPr>
          <w:p>
            <w:r/>
            <w:r>
              <w:rPr>
                <w:b/>
              </w:rPr>
              <w:t>Closure</w:t>
            </w:r>
          </w:p>
          <w:p>
            <w:r>
              <w:rPr>
                <w:i/>
                <w:color w:val="6B7280"/>
                <w:sz w:val="17"/>
              </w:rPr>
              <w:t>Students state or show what they learned; you collect a final check.</w:t>
            </w:r>
          </w:p>
        </w:tc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</w:tr>
    </w:tbl>
    <w:p>
      <w:r>
        <w:rPr>
          <w:i/>
          <w:color w:val="6B7280"/>
          <w:sz w:val="18"/>
        </w:rPr>
        <w:t>Often taught as seven elements; many districts add closure as an eighth.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