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Backward design unit template (3 stages)</w:t>
      </w:r>
    </w:p>
    <w:p>
      <w:r>
        <w:t>Unit:                        Grade / course:              Length:              Teacher:</w:t>
      </w:r>
    </w:p>
    <w:p>
      <w:pPr>
        <w:pStyle w:val="Heading1"/>
      </w:pPr>
      <w:r>
        <w:t>Stage 1: Desired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/>
            <w:r>
              <w:rPr>
                <w:b/>
              </w:rPr>
              <w:t>Established goals</w:t>
            </w:r>
          </w:p>
          <w:p>
            <w:r>
              <w:rPr>
                <w:i/>
                <w:color w:val="6B7280"/>
                <w:sz w:val="17"/>
              </w:rPr>
              <w:t>Standards or curriculum outcomes, quoted exactly</w:t>
            </w:r>
          </w:p>
        </w:tc>
      </w:tr>
      <w:tr>
        <w:trPr>
          <w:trHeight w:val="864"/>
        </w:trPr>
        <w:tc>
          <w:tcPr>
            <w:tcW w:type="dxa" w:w="10512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Understandings</w:t>
            </w:r>
          </w:p>
          <w:p>
            <w:r>
              <w:rPr>
                <w:i/>
                <w:color w:val="6B7280"/>
                <w:sz w:val="17"/>
              </w:rPr>
              <w:t>Students will understand that...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Essential questions</w:t>
            </w:r>
          </w:p>
          <w:p>
            <w:r>
              <w:rPr>
                <w:i/>
                <w:color w:val="6B7280"/>
                <w:sz w:val="17"/>
              </w:rPr>
              <w:t>Open questions for the whole unit</w:t>
            </w:r>
          </w:p>
        </w:tc>
      </w:tr>
      <w:tr>
        <w:trPr>
          <w:trHeight w:val="1152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Students will know...</w:t>
            </w:r>
          </w:p>
          <w:p>
            <w:r>
              <w:rPr>
                <w:i/>
                <w:color w:val="6B7280"/>
                <w:sz w:val="17"/>
              </w:rPr>
              <w:t>Key facts and vocabulary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Students will be able to...</w:t>
            </w:r>
          </w:p>
          <w:p>
            <w:r>
              <w:rPr>
                <w:i/>
                <w:color w:val="6B7280"/>
                <w:sz w:val="17"/>
              </w:rPr>
              <w:t>Skills, measurable verbs</w:t>
            </w:r>
          </w:p>
        </w:tc>
      </w:tr>
      <w:tr>
        <w:trPr>
          <w:trHeight w:val="1152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1"/>
      </w:pPr>
      <w:r>
        <w:t>Stage 2: Assessment evidence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/>
            <w:r>
              <w:rPr>
                <w:b/>
              </w:rPr>
              <w:t>Performance task</w:t>
            </w:r>
          </w:p>
          <w:p>
            <w:r>
              <w:rPr>
                <w:i/>
                <w:color w:val="6B7280"/>
                <w:sz w:val="17"/>
              </w:rPr>
              <w:t>What students make, solve or explain; audience; criteria</w:t>
            </w:r>
          </w:p>
        </w:tc>
      </w:tr>
      <w:tr>
        <w:trPr>
          <w:trHeight w:val="1296"/>
        </w:trPr>
        <w:tc>
          <w:tcPr>
            <w:tcW w:type="dxa" w:w="10512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</w:rPr>
              <w:t>Success criteria / rubric rows</w:t>
            </w:r>
          </w:p>
          <w:p>
            <w:r>
              <w:rPr>
                <w:i/>
                <w:color w:val="6B7280"/>
                <w:sz w:val="17"/>
              </w:rPr>
              <w:t>What proficient looks like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Other evidence</w:t>
            </w:r>
          </w:p>
          <w:p>
            <w:r>
              <w:rPr>
                <w:i/>
                <w:color w:val="6B7280"/>
                <w:sz w:val="17"/>
              </w:rPr>
              <w:t>Pre-assessment, exit tickets, quizzes, observation</w:t>
            </w:r>
          </w:p>
        </w:tc>
      </w:tr>
      <w:tr>
        <w:trPr>
          <w:trHeight w:val="1152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Stage 3: Learning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Learning activity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Stage 1 goal it serves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Stage 2 evidence it prepares</w:t>
            </w:r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1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2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3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4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5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6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7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720"/>
        </w:trPr>
        <w:tc>
          <w:tcPr>
            <w:tcW w:type="dxa" w:w="2628"/>
          </w:tcPr>
          <w:p>
            <w:r>
              <w:t>8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</w:tbl>
    <w:p>
      <w:r>
        <w:t>WHERETO: ☐ Where/why  ☐ Hook  ☐ Equip/explore  ☐ Rethink/revise  ☐ Evaluate  ☐ Tailor  ☐ Organize</w:t>
      </w:r>
    </w:p>
    <w:p>
      <w:r>
        <w:rPr>
          <w:i/>
          <w:color w:val="6B7280"/>
          <w:sz w:val="18"/>
        </w:rPr>
        <w:t>Stages and WHERETO follow Wiggins and McTighe, Understanding by Design (ASCD, 2nd ed., 2005). Understanding by Design® and UbD™ are trademarks of ASCD; this is an independent Draft My Lesson template, not the official UbD template.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